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9B" w:rsidRPr="007C60AC" w:rsidRDefault="0070129B" w:rsidP="0070129B">
      <w:pPr>
        <w:autoSpaceDE w:val="0"/>
        <w:autoSpaceDN w:val="0"/>
        <w:adjustRightInd w:val="0"/>
        <w:spacing w:after="0" w:line="240" w:lineRule="auto"/>
        <w:jc w:val="center"/>
        <w:rPr>
          <w:rFonts w:ascii="Times New Roman" w:hAnsi="Times New Roman" w:cs="Times New Roman"/>
          <w:b/>
          <w:sz w:val="18"/>
          <w:szCs w:val="18"/>
        </w:rPr>
      </w:pPr>
      <w:r w:rsidRPr="007C60AC">
        <w:rPr>
          <w:rFonts w:ascii="Times New Roman" w:hAnsi="Times New Roman" w:cs="Times New Roman"/>
          <w:b/>
          <w:sz w:val="18"/>
          <w:szCs w:val="18"/>
        </w:rPr>
        <w:t>Часть 1. Требования к содержанию, составу заявки на участие в закупке</w:t>
      </w:r>
    </w:p>
    <w:p w:rsidR="0070129B" w:rsidRPr="007C60AC" w:rsidRDefault="0070129B" w:rsidP="0070129B">
      <w:pPr>
        <w:autoSpaceDE w:val="0"/>
        <w:autoSpaceDN w:val="0"/>
        <w:adjustRightInd w:val="0"/>
        <w:spacing w:after="0" w:line="240" w:lineRule="auto"/>
        <w:jc w:val="center"/>
        <w:rPr>
          <w:rFonts w:ascii="Times New Roman" w:hAnsi="Times New Roman" w:cs="Times New Roman"/>
          <w:b/>
          <w:sz w:val="18"/>
          <w:szCs w:val="18"/>
        </w:rPr>
      </w:pPr>
      <w:r w:rsidRPr="007C60AC">
        <w:rPr>
          <w:rFonts w:ascii="Times New Roman" w:hAnsi="Times New Roman" w:cs="Times New Roman"/>
          <w:b/>
          <w:sz w:val="18"/>
          <w:szCs w:val="18"/>
        </w:rPr>
        <w:t xml:space="preserve"> и инструкция по ее заполнению</w:t>
      </w:r>
    </w:p>
    <w:p w:rsidR="00B73787" w:rsidRPr="008E2151" w:rsidRDefault="00B73787" w:rsidP="00B73787">
      <w:pPr>
        <w:autoSpaceDE w:val="0"/>
        <w:autoSpaceDN w:val="0"/>
        <w:adjustRightInd w:val="0"/>
        <w:spacing w:after="0" w:line="240" w:lineRule="auto"/>
        <w:jc w:val="center"/>
        <w:rPr>
          <w:rFonts w:ascii="Times New Roman" w:hAnsi="Times New Roman" w:cs="Times New Roman"/>
          <w:b/>
          <w:sz w:val="18"/>
          <w:szCs w:val="18"/>
        </w:rPr>
      </w:pPr>
    </w:p>
    <w:p w:rsidR="00B73787" w:rsidRPr="008E2151" w:rsidRDefault="00B73787" w:rsidP="00B73787">
      <w:pPr>
        <w:autoSpaceDE w:val="0"/>
        <w:autoSpaceDN w:val="0"/>
        <w:adjustRightInd w:val="0"/>
        <w:spacing w:after="0" w:line="240" w:lineRule="auto"/>
        <w:jc w:val="both"/>
        <w:rPr>
          <w:rFonts w:ascii="Times New Roman" w:hAnsi="Times New Roman" w:cs="Times New Roman"/>
          <w:i/>
          <w:sz w:val="18"/>
          <w:szCs w:val="18"/>
        </w:rPr>
      </w:pPr>
      <w:r w:rsidRPr="008E2151">
        <w:rPr>
          <w:rFonts w:ascii="Times New Roman" w:hAnsi="Times New Roman" w:cs="Times New Roman"/>
          <w:i/>
          <w:sz w:val="18"/>
          <w:szCs w:val="18"/>
        </w:rPr>
        <w:t>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B73787" w:rsidRPr="008E2151" w:rsidRDefault="00B73787" w:rsidP="00B73787">
      <w:pPr>
        <w:autoSpaceDE w:val="0"/>
        <w:autoSpaceDN w:val="0"/>
        <w:adjustRightInd w:val="0"/>
        <w:spacing w:after="0" w:line="240" w:lineRule="auto"/>
        <w:jc w:val="center"/>
        <w:rPr>
          <w:rFonts w:ascii="Times New Roman" w:hAnsi="Times New Roman" w:cs="Times New Roman"/>
          <w:b/>
          <w:sz w:val="18"/>
          <w:szCs w:val="18"/>
        </w:rPr>
      </w:pPr>
    </w:p>
    <w:p w:rsidR="00B73787" w:rsidRPr="008E2151" w:rsidRDefault="00B73787" w:rsidP="00B73787">
      <w:pPr>
        <w:autoSpaceDE w:val="0"/>
        <w:autoSpaceDN w:val="0"/>
        <w:adjustRightInd w:val="0"/>
        <w:spacing w:after="0" w:line="240" w:lineRule="auto"/>
        <w:contextualSpacing/>
        <w:jc w:val="both"/>
        <w:rPr>
          <w:rFonts w:ascii="Times New Roman" w:hAnsi="Times New Roman" w:cs="Times New Roman"/>
          <w:sz w:val="18"/>
          <w:szCs w:val="18"/>
        </w:rPr>
      </w:pPr>
      <w:r w:rsidRPr="008E2151">
        <w:rPr>
          <w:rFonts w:ascii="Times New Roman" w:hAnsi="Times New Roman" w:cs="Times New Roman"/>
          <w:sz w:val="18"/>
          <w:szCs w:val="18"/>
          <w:u w:val="single"/>
        </w:rPr>
        <w:t>Заявка на участие в закупке, должна содержать</w:t>
      </w:r>
      <w:r w:rsidRPr="008E2151">
        <w:rPr>
          <w:rFonts w:ascii="Times New Roman" w:hAnsi="Times New Roman" w:cs="Times New Roman"/>
          <w:sz w:val="18"/>
          <w:szCs w:val="18"/>
        </w:rPr>
        <w:t>:</w:t>
      </w:r>
    </w:p>
    <w:p w:rsidR="00B73787" w:rsidRPr="008E2151" w:rsidRDefault="004A2969" w:rsidP="00B73787">
      <w:pPr>
        <w:autoSpaceDE w:val="0"/>
        <w:autoSpaceDN w:val="0"/>
        <w:adjustRightInd w:val="0"/>
        <w:spacing w:before="200" w:after="0" w:line="240" w:lineRule="auto"/>
        <w:ind w:firstLine="540"/>
        <w:contextualSpacing/>
        <w:jc w:val="both"/>
        <w:rPr>
          <w:rFonts w:ascii="Times New Roman" w:hAnsi="Times New Roman" w:cs="Times New Roman"/>
          <w:sz w:val="18"/>
          <w:szCs w:val="18"/>
        </w:rPr>
      </w:pPr>
      <w:proofErr w:type="gramStart"/>
      <w:r w:rsidRPr="008E2151">
        <w:rPr>
          <w:rFonts w:ascii="Times New Roman" w:hAnsi="Times New Roman" w:cs="Times New Roman"/>
          <w:sz w:val="18"/>
          <w:szCs w:val="18"/>
        </w:rPr>
        <w:t>-</w:t>
      </w:r>
      <w:r w:rsidR="00B73787" w:rsidRPr="008E2151">
        <w:rPr>
          <w:rFonts w:ascii="Times New Roman" w:hAnsi="Times New Roman" w:cs="Times New Roman"/>
          <w:sz w:val="18"/>
          <w:szCs w:val="18"/>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2C2FFF" w:rsidRPr="008E2151" w:rsidRDefault="004A2969" w:rsidP="00B73787">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8E2151">
        <w:rPr>
          <w:rFonts w:ascii="Times New Roman" w:hAnsi="Times New Roman" w:cs="Times New Roman"/>
          <w:sz w:val="18"/>
          <w:szCs w:val="18"/>
        </w:rPr>
        <w:t>-</w:t>
      </w:r>
      <w:r w:rsidR="00B73787" w:rsidRPr="008E2151">
        <w:rPr>
          <w:rFonts w:ascii="Times New Roman" w:hAnsi="Times New Roman" w:cs="Times New Roman"/>
          <w:sz w:val="18"/>
          <w:szCs w:val="18"/>
        </w:rPr>
        <w:t xml:space="preserve"> документы, подтверждающие соответствие участника закупки требованиям, </w:t>
      </w:r>
      <w:r w:rsidR="00B73787" w:rsidRPr="008E2151">
        <w:rPr>
          <w:rFonts w:ascii="Times New Roman" w:hAnsi="Times New Roman" w:cs="Times New Roman"/>
          <w:color w:val="000000" w:themeColor="text1"/>
          <w:sz w:val="18"/>
          <w:szCs w:val="18"/>
        </w:rPr>
        <w:t xml:space="preserve">установленным </w:t>
      </w:r>
      <w:hyperlink r:id="rId5" w:history="1">
        <w:r w:rsidR="00B73787" w:rsidRPr="008E2151">
          <w:rPr>
            <w:rFonts w:ascii="Times New Roman" w:hAnsi="Times New Roman" w:cs="Times New Roman"/>
            <w:color w:val="000000" w:themeColor="text1"/>
            <w:sz w:val="18"/>
            <w:szCs w:val="18"/>
          </w:rPr>
          <w:t>пунктом 1 части 1 статьи 31</w:t>
        </w:r>
      </w:hyperlink>
      <w:r w:rsidR="002C2FFF" w:rsidRPr="008E2151">
        <w:rPr>
          <w:rFonts w:ascii="Times New Roman" w:hAnsi="Times New Roman" w:cs="Times New Roman"/>
          <w:color w:val="000000" w:themeColor="text1"/>
          <w:sz w:val="18"/>
          <w:szCs w:val="18"/>
        </w:rPr>
        <w:t xml:space="preserve"> Федерального закона № 44-ФЗ:</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Участник закупки должен являться членом саморегулируемой организаций в области строительства, реконструкции, капитального ремонта, сноса объектов капитального строительства, за исключением случаев предусмотренных ч. 2.1 и 2.2 ст. 52 Градостроительного кодекса  РФ.</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Член саморегулируемой организации имеет право выполнять строительство, реконструкцию, капитальный ремонт, снос объектов капитального строительства по договору строительного подряда, по договору подряда на осуществление сноса, заключаемого с использованием конкурентных способов заключения договора, при соблюдении в совокупности следующих условий:</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1) наличие у саморегулируемой организации, членом которой является такое лицо, компенсационного фонда возмещения вреда и компенсационного фонда обеспечения договорных обязательств, сформированных в соответствии со ст. 55.4 и 55.16 Градостроительного кодекса  РФ;</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 xml:space="preserve">2) если совокупный размер обязательств по  договору строительного </w:t>
      </w:r>
      <w:proofErr w:type="gramStart"/>
      <w:r w:rsidRPr="00E21C86">
        <w:rPr>
          <w:rFonts w:ascii="Times New Roman" w:hAnsi="Times New Roman" w:cs="Times New Roman"/>
          <w:color w:val="000000" w:themeColor="text1"/>
          <w:sz w:val="18"/>
          <w:szCs w:val="18"/>
        </w:rPr>
        <w:t>подряда</w:t>
      </w:r>
      <w:proofErr w:type="gramEnd"/>
      <w:r w:rsidRPr="00E21C86">
        <w:rPr>
          <w:rFonts w:ascii="Times New Roman" w:hAnsi="Times New Roman" w:cs="Times New Roman"/>
          <w:color w:val="000000" w:themeColor="text1"/>
          <w:sz w:val="18"/>
          <w:szCs w:val="18"/>
        </w:rPr>
        <w:t xml:space="preserve"> заключаемому с использованием конкурентных способов заключения договора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частью 11 или 13 ст. 55.16 Градостроительного кодекса  РФ. Количество договоров подряда на выполнение инженерных изысканий, подготовку проектной документации, договоров строительного подряда, по договору подряда на осуществление сноса,  которые могут быть заключены членом саморегулируемой организации с использованием конкурентных способов заключения договоров, не ограничивается.</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 xml:space="preserve">3) если совокупный размер обязательств по  договору строительного подряда не превышает предельный размер обязательств, </w:t>
      </w:r>
      <w:proofErr w:type="gramStart"/>
      <w:r w:rsidRPr="00E21C86">
        <w:rPr>
          <w:rFonts w:ascii="Times New Roman" w:hAnsi="Times New Roman" w:cs="Times New Roman"/>
          <w:color w:val="000000" w:themeColor="text1"/>
          <w:sz w:val="18"/>
          <w:szCs w:val="18"/>
        </w:rPr>
        <w:t>исходя из которого таким лицом был</w:t>
      </w:r>
      <w:proofErr w:type="gramEnd"/>
      <w:r w:rsidRPr="00E21C86">
        <w:rPr>
          <w:rFonts w:ascii="Times New Roman" w:hAnsi="Times New Roman" w:cs="Times New Roman"/>
          <w:color w:val="000000" w:themeColor="text1"/>
          <w:sz w:val="18"/>
          <w:szCs w:val="18"/>
        </w:rPr>
        <w:t xml:space="preserve"> внесен взнос в компенсационный фонд возмещения вреда в соответствии с частью 10 или 12 ст. 55.16 Градостроительного кодекса  РФ.</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Все перечисленные выше требования не распространяются:</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 xml:space="preserve">- на участников, которые предложат цену контракта 10 </w:t>
      </w:r>
      <w:proofErr w:type="gramStart"/>
      <w:r w:rsidRPr="00E21C86">
        <w:rPr>
          <w:rFonts w:ascii="Times New Roman" w:hAnsi="Times New Roman" w:cs="Times New Roman"/>
          <w:color w:val="000000" w:themeColor="text1"/>
          <w:sz w:val="18"/>
          <w:szCs w:val="18"/>
        </w:rPr>
        <w:t>млн</w:t>
      </w:r>
      <w:proofErr w:type="gramEnd"/>
      <w:r w:rsidRPr="00E21C86">
        <w:rPr>
          <w:rFonts w:ascii="Times New Roman" w:hAnsi="Times New Roman" w:cs="Times New Roman"/>
          <w:color w:val="000000" w:themeColor="text1"/>
          <w:sz w:val="18"/>
          <w:szCs w:val="18"/>
        </w:rPr>
        <w:t xml:space="preserve"> руб. и менее. Такие участники не обязаны быть членами СРО в силу ч. 2.1 ст. 52 </w:t>
      </w:r>
      <w:proofErr w:type="spellStart"/>
      <w:r w:rsidRPr="00E21C86">
        <w:rPr>
          <w:rFonts w:ascii="Times New Roman" w:hAnsi="Times New Roman" w:cs="Times New Roman"/>
          <w:color w:val="000000" w:themeColor="text1"/>
          <w:sz w:val="18"/>
          <w:szCs w:val="18"/>
        </w:rPr>
        <w:t>ГрК</w:t>
      </w:r>
      <w:proofErr w:type="spellEnd"/>
      <w:r w:rsidRPr="00E21C86">
        <w:rPr>
          <w:rFonts w:ascii="Times New Roman" w:hAnsi="Times New Roman" w:cs="Times New Roman"/>
          <w:color w:val="000000" w:themeColor="text1"/>
          <w:sz w:val="18"/>
          <w:szCs w:val="18"/>
        </w:rPr>
        <w:t xml:space="preserve"> РФ;</w:t>
      </w:r>
    </w:p>
    <w:p w:rsidR="00240079" w:rsidRPr="00E21C86" w:rsidRDefault="00240079" w:rsidP="00240079">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 xml:space="preserve">- на унитарные предприятия, государственные и муниципальные учреждения, </w:t>
      </w:r>
      <w:proofErr w:type="spellStart"/>
      <w:r w:rsidRPr="00E21C86">
        <w:rPr>
          <w:rFonts w:ascii="Times New Roman" w:hAnsi="Times New Roman" w:cs="Times New Roman"/>
          <w:color w:val="000000" w:themeColor="text1"/>
          <w:sz w:val="18"/>
          <w:szCs w:val="18"/>
        </w:rPr>
        <w:t>юрлица</w:t>
      </w:r>
      <w:proofErr w:type="spellEnd"/>
      <w:r w:rsidRPr="00E21C86">
        <w:rPr>
          <w:rFonts w:ascii="Times New Roman" w:hAnsi="Times New Roman" w:cs="Times New Roman"/>
          <w:color w:val="000000" w:themeColor="text1"/>
          <w:sz w:val="18"/>
          <w:szCs w:val="18"/>
        </w:rPr>
        <w:t xml:space="preserve"> с </w:t>
      </w:r>
      <w:proofErr w:type="spellStart"/>
      <w:r w:rsidRPr="00E21C86">
        <w:rPr>
          <w:rFonts w:ascii="Times New Roman" w:hAnsi="Times New Roman" w:cs="Times New Roman"/>
          <w:color w:val="000000" w:themeColor="text1"/>
          <w:sz w:val="18"/>
          <w:szCs w:val="18"/>
        </w:rPr>
        <w:t>госучастием</w:t>
      </w:r>
      <w:proofErr w:type="spellEnd"/>
      <w:r w:rsidRPr="00E21C86">
        <w:rPr>
          <w:rFonts w:ascii="Times New Roman" w:hAnsi="Times New Roman" w:cs="Times New Roman"/>
          <w:color w:val="000000" w:themeColor="text1"/>
          <w:sz w:val="18"/>
          <w:szCs w:val="18"/>
        </w:rPr>
        <w:t xml:space="preserve"> в случаях, которые перечислены в ч. 2.2 ст. 52 </w:t>
      </w:r>
      <w:proofErr w:type="spellStart"/>
      <w:r w:rsidRPr="00E21C86">
        <w:rPr>
          <w:rFonts w:ascii="Times New Roman" w:hAnsi="Times New Roman" w:cs="Times New Roman"/>
          <w:color w:val="000000" w:themeColor="text1"/>
          <w:sz w:val="18"/>
          <w:szCs w:val="18"/>
        </w:rPr>
        <w:t>ГрК</w:t>
      </w:r>
      <w:proofErr w:type="spellEnd"/>
      <w:r w:rsidRPr="00E21C86">
        <w:rPr>
          <w:rFonts w:ascii="Times New Roman" w:hAnsi="Times New Roman" w:cs="Times New Roman"/>
          <w:color w:val="000000" w:themeColor="text1"/>
          <w:sz w:val="18"/>
          <w:szCs w:val="18"/>
        </w:rPr>
        <w:t xml:space="preserve"> РФ. </w:t>
      </w:r>
    </w:p>
    <w:p w:rsidR="002C2FFF" w:rsidRPr="008E2151" w:rsidRDefault="00240079" w:rsidP="00B73787">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E21C86">
        <w:rPr>
          <w:rFonts w:ascii="Times New Roman" w:hAnsi="Times New Roman" w:cs="Times New Roman"/>
          <w:color w:val="000000" w:themeColor="text1"/>
          <w:sz w:val="18"/>
          <w:szCs w:val="18"/>
        </w:rPr>
        <w:t xml:space="preserve">Участнику  необходимо предоставить информацию из единого реестра сведений о членах саморегулируемых организаций и их обязательствах в любой свободной форме. В случае </w:t>
      </w:r>
      <w:proofErr w:type="spellStart"/>
      <w:r w:rsidRPr="00E21C86">
        <w:rPr>
          <w:rFonts w:ascii="Times New Roman" w:hAnsi="Times New Roman" w:cs="Times New Roman"/>
          <w:color w:val="000000" w:themeColor="text1"/>
          <w:sz w:val="18"/>
          <w:szCs w:val="18"/>
        </w:rPr>
        <w:t>непредоставления</w:t>
      </w:r>
      <w:proofErr w:type="spellEnd"/>
      <w:r w:rsidRPr="00E21C86">
        <w:rPr>
          <w:rFonts w:ascii="Times New Roman" w:hAnsi="Times New Roman" w:cs="Times New Roman"/>
          <w:color w:val="000000" w:themeColor="text1"/>
          <w:sz w:val="18"/>
          <w:szCs w:val="18"/>
        </w:rPr>
        <w:t xml:space="preserve"> подобных сведений комиссия будет осуществлять проверку наличия информации об участнике в едином реестре самостоятельно, на основании данных, предоставленных оператором электронной площадки.  </w:t>
      </w:r>
    </w:p>
    <w:p w:rsidR="002C2FFF" w:rsidRPr="008E2151" w:rsidRDefault="002C2FFF" w:rsidP="00B73787">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8E2151">
        <w:rPr>
          <w:rFonts w:ascii="Times New Roman" w:hAnsi="Times New Roman" w:cs="Times New Roman"/>
          <w:color w:val="000000" w:themeColor="text1"/>
          <w:sz w:val="18"/>
          <w:szCs w:val="18"/>
        </w:rPr>
        <w:t>Д</w:t>
      </w:r>
      <w:r w:rsidR="00B73787" w:rsidRPr="008E2151">
        <w:rPr>
          <w:rFonts w:ascii="Times New Roman" w:hAnsi="Times New Roman" w:cs="Times New Roman"/>
          <w:color w:val="000000" w:themeColor="text1"/>
          <w:sz w:val="18"/>
          <w:szCs w:val="18"/>
        </w:rPr>
        <w:t xml:space="preserve">окументы, подтверждающие соответствие участника закупки дополнительным требованиям, установленным в соответствии с </w:t>
      </w:r>
      <w:hyperlink r:id="rId6" w:history="1">
        <w:r w:rsidR="00B73787" w:rsidRPr="008E2151">
          <w:rPr>
            <w:rFonts w:ascii="Times New Roman" w:hAnsi="Times New Roman" w:cs="Times New Roman"/>
            <w:color w:val="000000" w:themeColor="text1"/>
            <w:sz w:val="18"/>
            <w:szCs w:val="18"/>
          </w:rPr>
          <w:t>частями 2</w:t>
        </w:r>
      </w:hyperlink>
      <w:r w:rsidR="00B73787" w:rsidRPr="008E2151">
        <w:rPr>
          <w:rFonts w:ascii="Times New Roman" w:hAnsi="Times New Roman" w:cs="Times New Roman"/>
          <w:color w:val="000000" w:themeColor="text1"/>
          <w:sz w:val="18"/>
          <w:szCs w:val="18"/>
        </w:rPr>
        <w:t xml:space="preserve"> и </w:t>
      </w:r>
      <w:hyperlink r:id="rId7" w:history="1">
        <w:r w:rsidR="00B73787" w:rsidRPr="008E2151">
          <w:rPr>
            <w:rFonts w:ascii="Times New Roman" w:hAnsi="Times New Roman" w:cs="Times New Roman"/>
            <w:color w:val="000000" w:themeColor="text1"/>
            <w:sz w:val="18"/>
            <w:szCs w:val="18"/>
          </w:rPr>
          <w:t>2.1</w:t>
        </w:r>
      </w:hyperlink>
      <w:r w:rsidR="00B73787" w:rsidRPr="008E2151">
        <w:rPr>
          <w:rFonts w:ascii="Times New Roman" w:hAnsi="Times New Roman" w:cs="Times New Roman"/>
          <w:color w:val="000000" w:themeColor="text1"/>
          <w:sz w:val="18"/>
          <w:szCs w:val="18"/>
        </w:rPr>
        <w:t xml:space="preserve"> </w:t>
      </w:r>
      <w:r w:rsidR="00B73787" w:rsidRPr="008E2151">
        <w:rPr>
          <w:rFonts w:ascii="Times New Roman" w:hAnsi="Times New Roman" w:cs="Times New Roman"/>
          <w:sz w:val="18"/>
          <w:szCs w:val="18"/>
        </w:rPr>
        <w:t>(при наличии таких требований) статьи 31 Федерального закона № 44-ФЗ, если иное не предусмотрено Федеральным законом № 44-ФЗ</w:t>
      </w:r>
      <w:r w:rsidR="00877EEA" w:rsidRPr="008E2151">
        <w:rPr>
          <w:rFonts w:ascii="Times New Roman" w:hAnsi="Times New Roman" w:cs="Times New Roman"/>
          <w:sz w:val="18"/>
          <w:szCs w:val="18"/>
        </w:rPr>
        <w:t xml:space="preserve"> </w:t>
      </w:r>
      <w:r w:rsidR="000A61E1" w:rsidRPr="008E2151">
        <w:rPr>
          <w:rFonts w:ascii="Times New Roman" w:hAnsi="Times New Roman" w:cs="Times New Roman"/>
          <w:color w:val="000000" w:themeColor="text1"/>
          <w:sz w:val="18"/>
          <w:szCs w:val="18"/>
        </w:rPr>
        <w:t>(</w:t>
      </w:r>
      <w:r w:rsidR="000A61E1" w:rsidRPr="008E2151">
        <w:rPr>
          <w:rFonts w:ascii="Times New Roman" w:hAnsi="Times New Roman" w:cs="Times New Roman"/>
          <w:i/>
          <w:color w:val="000000" w:themeColor="text1"/>
          <w:sz w:val="18"/>
          <w:szCs w:val="18"/>
        </w:rPr>
        <w:t xml:space="preserve">предоставляются в случае установления </w:t>
      </w:r>
      <w:r w:rsidR="00910153" w:rsidRPr="008E2151">
        <w:rPr>
          <w:rFonts w:ascii="Times New Roman" w:hAnsi="Times New Roman" w:cs="Times New Roman"/>
          <w:i/>
          <w:color w:val="000000" w:themeColor="text1"/>
          <w:sz w:val="18"/>
          <w:szCs w:val="18"/>
        </w:rPr>
        <w:t xml:space="preserve">таких </w:t>
      </w:r>
      <w:r w:rsidR="000A61E1" w:rsidRPr="008E2151">
        <w:rPr>
          <w:rFonts w:ascii="Times New Roman" w:hAnsi="Times New Roman" w:cs="Times New Roman"/>
          <w:i/>
          <w:color w:val="000000" w:themeColor="text1"/>
          <w:sz w:val="18"/>
          <w:szCs w:val="18"/>
        </w:rPr>
        <w:t>требований в извещении об осуществлении закупки</w:t>
      </w:r>
      <w:r w:rsidR="003B3380" w:rsidRPr="008E2151">
        <w:rPr>
          <w:rFonts w:ascii="Times New Roman" w:hAnsi="Times New Roman" w:cs="Times New Roman"/>
          <w:color w:val="000000" w:themeColor="text1"/>
          <w:sz w:val="18"/>
          <w:szCs w:val="18"/>
        </w:rPr>
        <w:t>)</w:t>
      </w:r>
      <w:r w:rsidRPr="008E2151">
        <w:rPr>
          <w:rFonts w:ascii="Times New Roman" w:hAnsi="Times New Roman" w:cs="Times New Roman"/>
          <w:color w:val="000000" w:themeColor="text1"/>
          <w:sz w:val="18"/>
          <w:szCs w:val="18"/>
        </w:rPr>
        <w:t>:</w:t>
      </w:r>
      <w:r w:rsidR="003B3380" w:rsidRPr="008E2151">
        <w:rPr>
          <w:rFonts w:ascii="Times New Roman" w:hAnsi="Times New Roman" w:cs="Times New Roman"/>
          <w:color w:val="000000" w:themeColor="text1"/>
          <w:sz w:val="18"/>
          <w:szCs w:val="18"/>
        </w:rPr>
        <w:t xml:space="preserve"> </w:t>
      </w:r>
    </w:p>
    <w:p w:rsidR="008E2151" w:rsidRPr="008E2151" w:rsidRDefault="008E2151" w:rsidP="008E2151">
      <w:pPr>
        <w:autoSpaceDE w:val="0"/>
        <w:autoSpaceDN w:val="0"/>
        <w:adjustRightInd w:val="0"/>
        <w:spacing w:line="240" w:lineRule="auto"/>
        <w:ind w:right="142" w:firstLine="601"/>
        <w:jc w:val="both"/>
        <w:rPr>
          <w:rFonts w:ascii="Times New Roman" w:hAnsi="Times New Roman" w:cs="Times New Roman"/>
          <w:sz w:val="18"/>
          <w:szCs w:val="18"/>
        </w:rPr>
      </w:pPr>
      <w:r w:rsidRPr="008E2151">
        <w:rPr>
          <w:rFonts w:ascii="Times New Roman" w:hAnsi="Times New Roman" w:cs="Times New Roman"/>
          <w:sz w:val="18"/>
          <w:szCs w:val="18"/>
        </w:rPr>
        <w:t xml:space="preserve">На основании позиции 7 раздела </w:t>
      </w:r>
      <w:r w:rsidRPr="008E2151">
        <w:rPr>
          <w:rFonts w:ascii="Times New Roman" w:hAnsi="Times New Roman" w:cs="Times New Roman"/>
          <w:sz w:val="18"/>
          <w:szCs w:val="18"/>
          <w:lang w:val="en-US"/>
        </w:rPr>
        <w:t>II</w:t>
      </w:r>
      <w:r w:rsidRPr="008E2151">
        <w:rPr>
          <w:rFonts w:ascii="Times New Roman" w:hAnsi="Times New Roman" w:cs="Times New Roman"/>
          <w:sz w:val="18"/>
          <w:szCs w:val="18"/>
        </w:rPr>
        <w:t xml:space="preserve"> Постановления Правительства РФ от 29.12.2021 N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bl>
      <w:tblPr>
        <w:tblStyle w:val="a3"/>
        <w:tblW w:w="5000" w:type="pct"/>
        <w:tblLayout w:type="fixed"/>
        <w:tblLook w:val="04A0" w:firstRow="1" w:lastRow="0" w:firstColumn="1" w:lastColumn="0" w:noHBand="0" w:noVBand="1"/>
      </w:tblPr>
      <w:tblGrid>
        <w:gridCol w:w="1872"/>
        <w:gridCol w:w="5070"/>
        <w:gridCol w:w="3481"/>
      </w:tblGrid>
      <w:tr w:rsidR="008E2151" w:rsidRPr="008E2151" w:rsidTr="006B48D5">
        <w:tc>
          <w:tcPr>
            <w:tcW w:w="898" w:type="pct"/>
          </w:tcPr>
          <w:p w:rsidR="008E2151" w:rsidRPr="008E2151" w:rsidRDefault="008E2151" w:rsidP="008E2151">
            <w:pPr>
              <w:autoSpaceDE w:val="0"/>
              <w:autoSpaceDN w:val="0"/>
              <w:adjustRightInd w:val="0"/>
              <w:ind w:left="142" w:right="142"/>
              <w:rPr>
                <w:rFonts w:ascii="Times New Roman" w:hAnsi="Times New Roman" w:cs="Times New Roman"/>
                <w:sz w:val="18"/>
                <w:szCs w:val="18"/>
              </w:rPr>
            </w:pPr>
            <w:r w:rsidRPr="008E2151">
              <w:rPr>
                <w:rFonts w:ascii="Times New Roman" w:hAnsi="Times New Roman" w:cs="Times New Roman"/>
                <w:sz w:val="18"/>
                <w:szCs w:val="18"/>
              </w:rPr>
              <w:t>Графа:</w:t>
            </w:r>
          </w:p>
        </w:tc>
        <w:tc>
          <w:tcPr>
            <w:tcW w:w="2432" w:type="pct"/>
          </w:tcPr>
          <w:p w:rsidR="008E2151" w:rsidRPr="008E2151" w:rsidRDefault="008E2151" w:rsidP="008E2151">
            <w:pPr>
              <w:autoSpaceDE w:val="0"/>
              <w:autoSpaceDN w:val="0"/>
              <w:adjustRightInd w:val="0"/>
              <w:ind w:left="142" w:right="142"/>
              <w:rPr>
                <w:rFonts w:ascii="Times New Roman" w:hAnsi="Times New Roman" w:cs="Times New Roman"/>
                <w:sz w:val="18"/>
                <w:szCs w:val="18"/>
              </w:rPr>
            </w:pPr>
            <w:r w:rsidRPr="008E2151">
              <w:rPr>
                <w:rFonts w:ascii="Times New Roman" w:hAnsi="Times New Roman" w:cs="Times New Roman"/>
                <w:sz w:val="18"/>
                <w:szCs w:val="18"/>
              </w:rPr>
              <w:t>Графа:</w:t>
            </w:r>
          </w:p>
        </w:tc>
        <w:tc>
          <w:tcPr>
            <w:tcW w:w="1670" w:type="pct"/>
          </w:tcPr>
          <w:p w:rsidR="008E2151" w:rsidRPr="008E2151" w:rsidRDefault="008E2151" w:rsidP="008E2151">
            <w:pPr>
              <w:autoSpaceDE w:val="0"/>
              <w:autoSpaceDN w:val="0"/>
              <w:adjustRightInd w:val="0"/>
              <w:ind w:left="142" w:right="142"/>
              <w:rPr>
                <w:rFonts w:ascii="Times New Roman" w:hAnsi="Times New Roman" w:cs="Times New Roman"/>
                <w:sz w:val="18"/>
                <w:szCs w:val="18"/>
              </w:rPr>
            </w:pPr>
            <w:r w:rsidRPr="008E2151">
              <w:rPr>
                <w:rFonts w:ascii="Times New Roman" w:hAnsi="Times New Roman" w:cs="Times New Roman"/>
                <w:sz w:val="18"/>
                <w:szCs w:val="18"/>
              </w:rPr>
              <w:t>Графа:</w:t>
            </w:r>
          </w:p>
        </w:tc>
      </w:tr>
      <w:tr w:rsidR="008E2151" w:rsidRPr="008E2151" w:rsidTr="006B48D5">
        <w:tc>
          <w:tcPr>
            <w:tcW w:w="898" w:type="pct"/>
          </w:tcPr>
          <w:p w:rsidR="008E2151" w:rsidRPr="008E2151" w:rsidRDefault="008E2151" w:rsidP="008E2151">
            <w:pPr>
              <w:autoSpaceDE w:val="0"/>
              <w:autoSpaceDN w:val="0"/>
              <w:adjustRightInd w:val="0"/>
              <w:ind w:left="142" w:right="142"/>
              <w:jc w:val="center"/>
              <w:rPr>
                <w:rFonts w:ascii="Times New Roman" w:hAnsi="Times New Roman" w:cs="Times New Roman"/>
                <w:sz w:val="18"/>
                <w:szCs w:val="18"/>
              </w:rPr>
            </w:pPr>
            <w:r w:rsidRPr="008E2151">
              <w:rPr>
                <w:rFonts w:ascii="Times New Roman" w:hAnsi="Times New Roman" w:cs="Times New Roman"/>
                <w:sz w:val="18"/>
                <w:szCs w:val="18"/>
              </w:rPr>
              <w:t xml:space="preserve">Наименование отдельных видов товаров, работ, услуг, являющихся объектом закупки </w:t>
            </w:r>
          </w:p>
        </w:tc>
        <w:tc>
          <w:tcPr>
            <w:tcW w:w="2432" w:type="pct"/>
          </w:tcPr>
          <w:p w:rsidR="008E2151" w:rsidRPr="008E2151" w:rsidRDefault="008E2151" w:rsidP="008E2151">
            <w:pPr>
              <w:autoSpaceDE w:val="0"/>
              <w:autoSpaceDN w:val="0"/>
              <w:adjustRightInd w:val="0"/>
              <w:ind w:left="142" w:right="142"/>
              <w:jc w:val="center"/>
              <w:rPr>
                <w:rFonts w:ascii="Times New Roman" w:hAnsi="Times New Roman" w:cs="Times New Roman"/>
                <w:sz w:val="18"/>
                <w:szCs w:val="18"/>
              </w:rPr>
            </w:pPr>
            <w:r w:rsidRPr="008E2151">
              <w:rPr>
                <w:rFonts w:ascii="Times New Roman" w:hAnsi="Times New Roman" w:cs="Times New Roman"/>
                <w:sz w:val="18"/>
                <w:szCs w:val="18"/>
              </w:rPr>
              <w:t xml:space="preserve">Дополнительные требования к участникам закупки </w:t>
            </w:r>
          </w:p>
        </w:tc>
        <w:tc>
          <w:tcPr>
            <w:tcW w:w="1670" w:type="pct"/>
          </w:tcPr>
          <w:p w:rsidR="008E2151" w:rsidRPr="008E2151" w:rsidRDefault="008E2151" w:rsidP="008E2151">
            <w:pPr>
              <w:autoSpaceDE w:val="0"/>
              <w:autoSpaceDN w:val="0"/>
              <w:adjustRightInd w:val="0"/>
              <w:ind w:left="142" w:right="142"/>
              <w:jc w:val="center"/>
              <w:rPr>
                <w:rFonts w:ascii="Times New Roman" w:hAnsi="Times New Roman" w:cs="Times New Roman"/>
                <w:sz w:val="18"/>
                <w:szCs w:val="18"/>
              </w:rPr>
            </w:pPr>
            <w:r w:rsidRPr="008E2151">
              <w:rPr>
                <w:rFonts w:ascii="Times New Roman" w:hAnsi="Times New Roman" w:cs="Times New Roman"/>
                <w:sz w:val="18"/>
                <w:szCs w:val="18"/>
              </w:rPr>
              <w:t xml:space="preserve">Информация и документы, подтверждающие соответствие участников закупки дополнительным требованиям </w:t>
            </w:r>
          </w:p>
        </w:tc>
      </w:tr>
      <w:tr w:rsidR="008E2151" w:rsidRPr="008E2151" w:rsidTr="00A016CE">
        <w:tc>
          <w:tcPr>
            <w:tcW w:w="5000" w:type="pct"/>
            <w:gridSpan w:val="3"/>
          </w:tcPr>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Раздел II. Дополнительные требования к участникам закупки в сфере градостроительной деятельности, информация и документы, подтверждающие соответствие участников закупок таким дополнительным требованиям</w:t>
            </w:r>
          </w:p>
        </w:tc>
      </w:tr>
      <w:tr w:rsidR="008E2151" w:rsidRPr="008E2151" w:rsidTr="006B48D5">
        <w:tc>
          <w:tcPr>
            <w:tcW w:w="898" w:type="pct"/>
          </w:tcPr>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Позиция 7:</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 xml:space="preserve">Работы по строительству, реконструкции объекта капитального </w:t>
            </w:r>
            <w:r w:rsidRPr="008E2151">
              <w:rPr>
                <w:rFonts w:ascii="Times New Roman" w:hAnsi="Times New Roman" w:cs="Times New Roman"/>
                <w:sz w:val="18"/>
                <w:szCs w:val="18"/>
              </w:rPr>
              <w:lastRenderedPageBreak/>
              <w:t>строительства, за исключением линейного объекта</w:t>
            </w:r>
          </w:p>
        </w:tc>
        <w:tc>
          <w:tcPr>
            <w:tcW w:w="2432" w:type="pct"/>
          </w:tcPr>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lastRenderedPageBreak/>
              <w:t>наличие у участника закупки следующего опыта выполнения работ:</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(за исключением линейного объекта);</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lastRenderedPageBreak/>
              <w:t>2) опыт выполнения участником закупки, являющимся застройщиком, работ по строительству, реконструкции объекта капитального строительства</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(за исключением линейного объекта).</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Цена выполненных работ по договору, предусмотренных пунктами 1 и 2 настоящей графы настоящей позиции, должна составлять:</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 xml:space="preserve">не менее </w:t>
            </w:r>
            <w:r w:rsidR="005D0DC9">
              <w:rPr>
                <w:rFonts w:ascii="Times New Roman" w:hAnsi="Times New Roman" w:cs="Times New Roman"/>
                <w:sz w:val="18"/>
                <w:szCs w:val="18"/>
              </w:rPr>
              <w:t>40</w:t>
            </w:r>
            <w:bookmarkStart w:id="0" w:name="_GoBack"/>
            <w:bookmarkEnd w:id="0"/>
            <w:r w:rsidRPr="008E2151">
              <w:rPr>
                <w:rFonts w:ascii="Times New Roman" w:hAnsi="Times New Roman" w:cs="Times New Roman"/>
                <w:sz w:val="18"/>
                <w:szCs w:val="18"/>
              </w:rPr>
              <w:t xml:space="preserve"> процентов начальной (максимальной) цены контракта, заключаемого по результатам определения поставщика (подрядчика, исполнителя).</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p>
        </w:tc>
        <w:tc>
          <w:tcPr>
            <w:tcW w:w="1670" w:type="pct"/>
          </w:tcPr>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lastRenderedPageBreak/>
              <w:t xml:space="preserve">в случае наличия опыта, предусмотренного </w:t>
            </w:r>
            <w:hyperlink r:id="rId8" w:history="1">
              <w:r w:rsidRPr="008E2151">
                <w:rPr>
                  <w:rFonts w:ascii="Times New Roman" w:hAnsi="Times New Roman" w:cs="Times New Roman"/>
                  <w:color w:val="0000FF"/>
                  <w:sz w:val="18"/>
                  <w:szCs w:val="18"/>
                </w:rPr>
                <w:t>пунктом 1</w:t>
              </w:r>
            </w:hyperlink>
            <w:r w:rsidRPr="008E2151">
              <w:rPr>
                <w:rFonts w:ascii="Times New Roman" w:hAnsi="Times New Roman" w:cs="Times New Roman"/>
                <w:sz w:val="18"/>
                <w:szCs w:val="18"/>
              </w:rPr>
              <w:t xml:space="preserve"> графы "Дополнительные требования к участникам закупки" </w:t>
            </w:r>
            <w:proofErr w:type="gramStart"/>
            <w:r w:rsidRPr="008E2151">
              <w:rPr>
                <w:rFonts w:ascii="Times New Roman" w:hAnsi="Times New Roman" w:cs="Times New Roman"/>
                <w:sz w:val="18"/>
                <w:szCs w:val="18"/>
              </w:rPr>
              <w:t>предоставляются следующие документы</w:t>
            </w:r>
            <w:proofErr w:type="gramEnd"/>
            <w:r w:rsidRPr="008E2151">
              <w:rPr>
                <w:rFonts w:ascii="Times New Roman" w:hAnsi="Times New Roman" w:cs="Times New Roman"/>
                <w:sz w:val="18"/>
                <w:szCs w:val="18"/>
              </w:rPr>
              <w:t>:</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lastRenderedPageBreak/>
              <w:t>1) исполненный договор;</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 xml:space="preserve">В </w:t>
            </w:r>
            <w:proofErr w:type="gramStart"/>
            <w:r w:rsidRPr="008E2151">
              <w:rPr>
                <w:rFonts w:ascii="Times New Roman" w:hAnsi="Times New Roman" w:cs="Times New Roman"/>
                <w:sz w:val="18"/>
                <w:szCs w:val="18"/>
              </w:rPr>
              <w:t>случае</w:t>
            </w:r>
            <w:proofErr w:type="gramEnd"/>
            <w:r w:rsidRPr="008E2151">
              <w:rPr>
                <w:rFonts w:ascii="Times New Roman" w:hAnsi="Times New Roman" w:cs="Times New Roman"/>
                <w:sz w:val="18"/>
                <w:szCs w:val="18"/>
              </w:rPr>
              <w:t xml:space="preserve"> наличия опыта, предусмотренного </w:t>
            </w:r>
            <w:hyperlink r:id="rId9" w:history="1">
              <w:r w:rsidRPr="008E2151">
                <w:rPr>
                  <w:rFonts w:ascii="Times New Roman" w:hAnsi="Times New Roman" w:cs="Times New Roman"/>
                  <w:color w:val="0000FF"/>
                  <w:sz w:val="18"/>
                  <w:szCs w:val="18"/>
                </w:rPr>
                <w:t>пунктом 2</w:t>
              </w:r>
            </w:hyperlink>
            <w:r w:rsidRPr="008E2151">
              <w:rPr>
                <w:rFonts w:ascii="Times New Roman" w:hAnsi="Times New Roman" w:cs="Times New Roman"/>
                <w:sz w:val="18"/>
                <w:szCs w:val="18"/>
              </w:rPr>
              <w:t xml:space="preserve"> графы "Дополнительные требования к участникам закупки"  предоставляются следующие документы:</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 xml:space="preserve">1) раздел 11 "Смета на строительство объектов </w:t>
            </w:r>
            <w:proofErr w:type="gramStart"/>
            <w:r w:rsidRPr="008E2151">
              <w:rPr>
                <w:rFonts w:ascii="Times New Roman" w:hAnsi="Times New Roman" w:cs="Times New Roman"/>
                <w:sz w:val="18"/>
                <w:szCs w:val="18"/>
              </w:rPr>
              <w:t>капитального</w:t>
            </w:r>
            <w:proofErr w:type="gramEnd"/>
            <w:r w:rsidRPr="008E2151">
              <w:rPr>
                <w:rFonts w:ascii="Times New Roman" w:hAnsi="Times New Roman" w:cs="Times New Roman"/>
                <w:sz w:val="18"/>
                <w:szCs w:val="18"/>
              </w:rPr>
              <w:t xml:space="preserve"> строительства" проектной документации;</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r w:rsidRPr="008E2151">
              <w:rPr>
                <w:rFonts w:ascii="Times New Roman" w:hAnsi="Times New Roman" w:cs="Times New Roman"/>
                <w:sz w:val="18"/>
                <w:szCs w:val="18"/>
              </w:rPr>
              <w:t>2) разрешение на ввод объекта капитального строительства в эксплуатацию</w:t>
            </w:r>
          </w:p>
          <w:p w:rsidR="008E2151" w:rsidRPr="008E2151" w:rsidRDefault="008E2151" w:rsidP="008E2151">
            <w:pPr>
              <w:autoSpaceDE w:val="0"/>
              <w:autoSpaceDN w:val="0"/>
              <w:adjustRightInd w:val="0"/>
              <w:ind w:left="142" w:right="142"/>
              <w:jc w:val="both"/>
              <w:rPr>
                <w:rFonts w:ascii="Times New Roman" w:hAnsi="Times New Roman" w:cs="Times New Roman"/>
                <w:sz w:val="18"/>
                <w:szCs w:val="18"/>
              </w:rPr>
            </w:pPr>
          </w:p>
        </w:tc>
      </w:tr>
    </w:tbl>
    <w:p w:rsidR="002C2FFF" w:rsidRPr="008E2151" w:rsidRDefault="002C2FFF" w:rsidP="002C2FFF">
      <w:pPr>
        <w:autoSpaceDE w:val="0"/>
        <w:autoSpaceDN w:val="0"/>
        <w:adjustRightInd w:val="0"/>
        <w:spacing w:before="200" w:after="0" w:line="240" w:lineRule="auto"/>
        <w:contextualSpacing/>
        <w:jc w:val="both"/>
        <w:rPr>
          <w:rFonts w:ascii="Times New Roman" w:hAnsi="Times New Roman" w:cs="Times New Roman"/>
          <w:b/>
          <w:color w:val="FF0000"/>
          <w:sz w:val="18"/>
          <w:szCs w:val="18"/>
        </w:rPr>
      </w:pPr>
      <w:r w:rsidRPr="008E2151">
        <w:rPr>
          <w:rFonts w:ascii="Times New Roman" w:hAnsi="Times New Roman" w:cs="Times New Roman"/>
          <w:color w:val="000000" w:themeColor="text1"/>
          <w:sz w:val="18"/>
          <w:szCs w:val="18"/>
        </w:rPr>
        <w:lastRenderedPageBreak/>
        <w:t>Информация и документы, подтверждающие соответствие участника закупки указанным дополнительным требованиям, установленным в соответствии с частью 2 или 2.1 статьи 31 Федерального закона № 44-ФЗ должны отвечать положениям пункта 3 Постановления Правительства РФ от 29.12.2021 № 2571.</w:t>
      </w:r>
    </w:p>
    <w:p w:rsidR="002C2FFF" w:rsidRPr="008E2151" w:rsidRDefault="002C2FFF" w:rsidP="00B73787">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p>
    <w:p w:rsidR="00B73787" w:rsidRPr="008E2151" w:rsidRDefault="004A2969" w:rsidP="00B73787">
      <w:pPr>
        <w:autoSpaceDE w:val="0"/>
        <w:autoSpaceDN w:val="0"/>
        <w:adjustRightInd w:val="0"/>
        <w:spacing w:before="200" w:after="0" w:line="240" w:lineRule="auto"/>
        <w:ind w:firstLine="540"/>
        <w:contextualSpacing/>
        <w:jc w:val="both"/>
        <w:rPr>
          <w:rFonts w:ascii="Times New Roman" w:hAnsi="Times New Roman" w:cs="Times New Roman"/>
          <w:color w:val="000000" w:themeColor="text1"/>
          <w:sz w:val="18"/>
          <w:szCs w:val="18"/>
        </w:rPr>
      </w:pPr>
      <w:r w:rsidRPr="008E2151">
        <w:rPr>
          <w:rFonts w:ascii="Times New Roman" w:hAnsi="Times New Roman" w:cs="Times New Roman"/>
          <w:sz w:val="18"/>
          <w:szCs w:val="18"/>
        </w:rPr>
        <w:t>-</w:t>
      </w:r>
      <w:r w:rsidR="00B73787" w:rsidRPr="008E2151">
        <w:rPr>
          <w:rFonts w:ascii="Times New Roman" w:hAnsi="Times New Roman" w:cs="Times New Roman"/>
          <w:sz w:val="18"/>
          <w:szCs w:val="18"/>
        </w:rPr>
        <w:t xml:space="preserve"> декларация о соответствии участника закупки требованиям, установленным </w:t>
      </w:r>
      <w:hyperlink r:id="rId10" w:history="1">
        <w:r w:rsidR="00B73787" w:rsidRPr="008E2151">
          <w:rPr>
            <w:rFonts w:ascii="Times New Roman" w:hAnsi="Times New Roman" w:cs="Times New Roman"/>
            <w:color w:val="000000" w:themeColor="text1"/>
            <w:sz w:val="18"/>
            <w:szCs w:val="18"/>
          </w:rPr>
          <w:t>пунктами 3</w:t>
        </w:r>
      </w:hyperlink>
      <w:r w:rsidR="00B73787" w:rsidRPr="008E2151">
        <w:rPr>
          <w:rFonts w:ascii="Times New Roman" w:hAnsi="Times New Roman" w:cs="Times New Roman"/>
          <w:color w:val="000000" w:themeColor="text1"/>
          <w:sz w:val="18"/>
          <w:szCs w:val="18"/>
        </w:rPr>
        <w:t xml:space="preserve"> - </w:t>
      </w:r>
      <w:hyperlink r:id="rId11" w:history="1">
        <w:r w:rsidR="00B73787" w:rsidRPr="008E2151">
          <w:rPr>
            <w:rFonts w:ascii="Times New Roman" w:hAnsi="Times New Roman" w:cs="Times New Roman"/>
            <w:color w:val="000000" w:themeColor="text1"/>
            <w:sz w:val="18"/>
            <w:szCs w:val="18"/>
          </w:rPr>
          <w:t>5</w:t>
        </w:r>
      </w:hyperlink>
      <w:r w:rsidR="00B73787" w:rsidRPr="008E2151">
        <w:rPr>
          <w:rFonts w:ascii="Times New Roman" w:hAnsi="Times New Roman" w:cs="Times New Roman"/>
          <w:color w:val="000000" w:themeColor="text1"/>
          <w:sz w:val="18"/>
          <w:szCs w:val="18"/>
        </w:rPr>
        <w:t xml:space="preserve">, </w:t>
      </w:r>
      <w:hyperlink r:id="rId12" w:history="1">
        <w:r w:rsidR="00B73787" w:rsidRPr="008E2151">
          <w:rPr>
            <w:rFonts w:ascii="Times New Roman" w:hAnsi="Times New Roman" w:cs="Times New Roman"/>
            <w:color w:val="000000" w:themeColor="text1"/>
            <w:sz w:val="18"/>
            <w:szCs w:val="18"/>
          </w:rPr>
          <w:t>7</w:t>
        </w:r>
      </w:hyperlink>
      <w:r w:rsidR="00B73787" w:rsidRPr="008E2151">
        <w:rPr>
          <w:rFonts w:ascii="Times New Roman" w:hAnsi="Times New Roman" w:cs="Times New Roman"/>
          <w:color w:val="000000" w:themeColor="text1"/>
          <w:sz w:val="18"/>
          <w:szCs w:val="18"/>
        </w:rPr>
        <w:t xml:space="preserve"> - </w:t>
      </w:r>
      <w:hyperlink r:id="rId13" w:history="1">
        <w:r w:rsidR="00B73787" w:rsidRPr="008E2151">
          <w:rPr>
            <w:rFonts w:ascii="Times New Roman" w:hAnsi="Times New Roman" w:cs="Times New Roman"/>
            <w:color w:val="000000" w:themeColor="text1"/>
            <w:sz w:val="18"/>
            <w:szCs w:val="18"/>
          </w:rPr>
          <w:t>11 части 1 статьи 31</w:t>
        </w:r>
      </w:hyperlink>
      <w:r w:rsidR="00B73787" w:rsidRPr="008E2151">
        <w:rPr>
          <w:rFonts w:ascii="Times New Roman" w:hAnsi="Times New Roman" w:cs="Times New Roman"/>
          <w:color w:val="000000" w:themeColor="text1"/>
          <w:sz w:val="18"/>
          <w:szCs w:val="18"/>
        </w:rPr>
        <w:t xml:space="preserve"> Федерального закона № 44-ФЗ;</w:t>
      </w:r>
    </w:p>
    <w:p w:rsidR="00B73787" w:rsidRPr="008E2151" w:rsidRDefault="004A2969" w:rsidP="00B73787">
      <w:pPr>
        <w:autoSpaceDE w:val="0"/>
        <w:autoSpaceDN w:val="0"/>
        <w:adjustRightInd w:val="0"/>
        <w:spacing w:before="200" w:after="0" w:line="240" w:lineRule="auto"/>
        <w:ind w:firstLine="540"/>
        <w:contextualSpacing/>
        <w:jc w:val="both"/>
        <w:rPr>
          <w:rFonts w:ascii="Times New Roman" w:hAnsi="Times New Roman" w:cs="Times New Roman"/>
          <w:sz w:val="18"/>
          <w:szCs w:val="18"/>
        </w:rPr>
      </w:pPr>
      <w:r w:rsidRPr="008E2151">
        <w:rPr>
          <w:rFonts w:ascii="Times New Roman" w:hAnsi="Times New Roman" w:cs="Times New Roman"/>
          <w:sz w:val="18"/>
          <w:szCs w:val="18"/>
        </w:rPr>
        <w:t>-</w:t>
      </w:r>
      <w:r w:rsidR="00B73787" w:rsidRPr="008E2151">
        <w:rPr>
          <w:rFonts w:ascii="Times New Roman" w:hAnsi="Times New Roman" w:cs="Times New Roman"/>
          <w:sz w:val="18"/>
          <w:szCs w:val="18"/>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B73787" w:rsidRPr="008E2151">
        <w:rPr>
          <w:rFonts w:ascii="Times New Roman" w:hAnsi="Times New Roman" w:cs="Times New Roman"/>
          <w:sz w:val="18"/>
          <w:szCs w:val="18"/>
        </w:rPr>
        <w:t>дств в к</w:t>
      </w:r>
      <w:proofErr w:type="gramEnd"/>
      <w:r w:rsidR="00B73787" w:rsidRPr="008E2151">
        <w:rPr>
          <w:rFonts w:ascii="Times New Roman" w:hAnsi="Times New Roman" w:cs="Times New Roman"/>
          <w:sz w:val="18"/>
          <w:szCs w:val="18"/>
        </w:rPr>
        <w:t>ачестве оплаты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4A2969" w:rsidRPr="008E2151" w:rsidRDefault="004A2969" w:rsidP="00B73787">
      <w:pPr>
        <w:autoSpaceDE w:val="0"/>
        <w:autoSpaceDN w:val="0"/>
        <w:adjustRightInd w:val="0"/>
        <w:spacing w:before="200" w:after="0" w:line="240" w:lineRule="auto"/>
        <w:ind w:firstLine="540"/>
        <w:contextualSpacing/>
        <w:jc w:val="both"/>
        <w:rPr>
          <w:rFonts w:ascii="Times New Roman" w:hAnsi="Times New Roman" w:cs="Times New Roman"/>
          <w:sz w:val="18"/>
          <w:szCs w:val="18"/>
        </w:rPr>
      </w:pPr>
      <w:r w:rsidRPr="008E2151">
        <w:rPr>
          <w:rFonts w:ascii="Times New Roman" w:hAnsi="Times New Roman" w:cs="Times New Roman"/>
          <w:sz w:val="18"/>
          <w:szCs w:val="18"/>
        </w:rPr>
        <w:t>- информация и документы, предусмотренные нормативными правовыми актами, принятыми в соответствии с частями 3 и 4 статьи 14 Федерального закона № 44-ФЗ (</w:t>
      </w:r>
      <w:r w:rsidRPr="008E2151">
        <w:rPr>
          <w:rFonts w:ascii="Times New Roman" w:hAnsi="Times New Roman" w:cs="Times New Roman"/>
          <w:i/>
          <w:sz w:val="18"/>
          <w:szCs w:val="18"/>
          <w:u w:val="single"/>
        </w:rPr>
        <w:t>в случае, если в извещении об осуществлении закупки установлены предусмотренные указанной статьей запреты, ограничения, условия допуска</w:t>
      </w:r>
      <w:r w:rsidRPr="008E2151">
        <w:rPr>
          <w:rFonts w:ascii="Times New Roman" w:hAnsi="Times New Roman" w:cs="Times New Roman"/>
          <w:sz w:val="18"/>
          <w:szCs w:val="18"/>
        </w:rPr>
        <w:t xml:space="preserve">). </w:t>
      </w:r>
      <w:proofErr w:type="gramStart"/>
      <w:r w:rsidRPr="008E2151">
        <w:rPr>
          <w:rFonts w:ascii="Times New Roman" w:hAnsi="Times New Roman" w:cs="Times New Roman"/>
          <w:sz w:val="18"/>
          <w:szCs w:val="18"/>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roofErr w:type="gramEnd"/>
    </w:p>
    <w:p w:rsidR="004A2969" w:rsidRPr="008E2151" w:rsidRDefault="004A2969" w:rsidP="00B73787">
      <w:pPr>
        <w:autoSpaceDE w:val="0"/>
        <w:autoSpaceDN w:val="0"/>
        <w:adjustRightInd w:val="0"/>
        <w:spacing w:before="200" w:after="0" w:line="240" w:lineRule="auto"/>
        <w:ind w:firstLine="540"/>
        <w:contextualSpacing/>
        <w:jc w:val="both"/>
        <w:rPr>
          <w:rFonts w:ascii="Times New Roman" w:hAnsi="Times New Roman" w:cs="Times New Roman"/>
          <w:sz w:val="18"/>
          <w:szCs w:val="18"/>
        </w:rPr>
      </w:pPr>
      <w:r w:rsidRPr="008E2151">
        <w:rPr>
          <w:rFonts w:ascii="Times New Roman" w:hAnsi="Times New Roman" w:cs="Times New Roman"/>
          <w:sz w:val="18"/>
          <w:szCs w:val="18"/>
        </w:rPr>
        <w:t>Заявка также может содержать</w:t>
      </w:r>
      <w:r w:rsidR="003B68D4" w:rsidRPr="008E2151">
        <w:rPr>
          <w:rFonts w:ascii="Times New Roman" w:hAnsi="Times New Roman" w:cs="Times New Roman"/>
          <w:sz w:val="18"/>
          <w:szCs w:val="18"/>
        </w:rPr>
        <w:t xml:space="preserve"> иные</w:t>
      </w:r>
      <w:r w:rsidRPr="008E2151">
        <w:rPr>
          <w:rFonts w:ascii="Times New Roman" w:hAnsi="Times New Roman" w:cs="Times New Roman"/>
          <w:sz w:val="18"/>
          <w:szCs w:val="18"/>
        </w:rPr>
        <w:t xml:space="preserve"> информацию и документы, </w:t>
      </w:r>
      <w:r w:rsidR="003B68D4" w:rsidRPr="008E2151">
        <w:rPr>
          <w:rFonts w:ascii="Times New Roman" w:hAnsi="Times New Roman" w:cs="Times New Roman"/>
          <w:sz w:val="18"/>
          <w:szCs w:val="18"/>
        </w:rPr>
        <w:t xml:space="preserve">в том числе эскиз, рисунок, чертеж, фотография, иное изображение предлагаемого участником закупки товара. </w:t>
      </w:r>
      <w:r w:rsidR="002667EC" w:rsidRPr="008E2151">
        <w:rPr>
          <w:rFonts w:ascii="Times New Roman" w:hAnsi="Times New Roman" w:cs="Times New Roman"/>
          <w:sz w:val="18"/>
          <w:szCs w:val="18"/>
        </w:rPr>
        <w:t>При этом отсутствие таких информации и документов не является основанием для отклонения заявки на участие в закупке.</w:t>
      </w:r>
    </w:p>
    <w:p w:rsidR="00492D9E" w:rsidRPr="008E2151" w:rsidRDefault="00492D9E" w:rsidP="00492D9E">
      <w:pPr>
        <w:autoSpaceDE w:val="0"/>
        <w:autoSpaceDN w:val="0"/>
        <w:adjustRightInd w:val="0"/>
        <w:spacing w:before="200" w:after="0" w:line="240" w:lineRule="auto"/>
        <w:ind w:firstLine="540"/>
        <w:contextualSpacing/>
        <w:jc w:val="both"/>
        <w:rPr>
          <w:rFonts w:ascii="Times New Roman" w:hAnsi="Times New Roman" w:cs="Times New Roman"/>
          <w:b/>
          <w:color w:val="C00000"/>
          <w:sz w:val="18"/>
          <w:szCs w:val="18"/>
        </w:rPr>
      </w:pPr>
      <w:r w:rsidRPr="008E2151">
        <w:rPr>
          <w:rFonts w:ascii="Times New Roman" w:hAnsi="Times New Roman" w:cs="Times New Roman"/>
          <w:b/>
          <w:color w:val="C00000"/>
          <w:sz w:val="18"/>
          <w:szCs w:val="18"/>
        </w:rPr>
        <w:t>Требования  к содержанию, составу заявки на участие в закупке установлены в соответствии со стать</w:t>
      </w:r>
      <w:r w:rsidR="004A2969" w:rsidRPr="008E2151">
        <w:rPr>
          <w:rFonts w:ascii="Times New Roman" w:hAnsi="Times New Roman" w:cs="Times New Roman"/>
          <w:b/>
          <w:color w:val="C00000"/>
          <w:sz w:val="18"/>
          <w:szCs w:val="18"/>
        </w:rPr>
        <w:t>ями</w:t>
      </w:r>
      <w:r w:rsidRPr="008E2151">
        <w:rPr>
          <w:rFonts w:ascii="Times New Roman" w:hAnsi="Times New Roman" w:cs="Times New Roman"/>
          <w:b/>
          <w:color w:val="C00000"/>
          <w:sz w:val="18"/>
          <w:szCs w:val="18"/>
        </w:rPr>
        <w:t xml:space="preserve"> 43</w:t>
      </w:r>
      <w:r w:rsidR="004A2969" w:rsidRPr="008E2151">
        <w:rPr>
          <w:rFonts w:ascii="Times New Roman" w:hAnsi="Times New Roman" w:cs="Times New Roman"/>
          <w:b/>
          <w:color w:val="C00000"/>
          <w:sz w:val="18"/>
          <w:szCs w:val="18"/>
        </w:rPr>
        <w:t>, 49</w:t>
      </w:r>
      <w:r w:rsidRPr="008E2151">
        <w:rPr>
          <w:rFonts w:ascii="Times New Roman" w:hAnsi="Times New Roman" w:cs="Times New Roman"/>
          <w:b/>
          <w:color w:val="C00000"/>
          <w:sz w:val="18"/>
          <w:szCs w:val="18"/>
        </w:rPr>
        <w:t xml:space="preserve"> Федерального закона № 44-ФЗ. Подача заявки на участие в закупке должна осуществляться с учетом особенностей, предусмотренных частью 6 статьи 43, частями 1, 2 статьи 49  Федерального закона № 44-ФЗ.</w:t>
      </w:r>
    </w:p>
    <w:p w:rsidR="00B73787" w:rsidRPr="008E2151" w:rsidRDefault="00B73787" w:rsidP="00B73787">
      <w:pPr>
        <w:autoSpaceDE w:val="0"/>
        <w:autoSpaceDN w:val="0"/>
        <w:adjustRightInd w:val="0"/>
        <w:spacing w:before="200" w:after="0" w:line="240" w:lineRule="auto"/>
        <w:ind w:firstLine="540"/>
        <w:contextualSpacing/>
        <w:jc w:val="both"/>
        <w:rPr>
          <w:rFonts w:ascii="Times New Roman" w:hAnsi="Times New Roman" w:cs="Times New Roman"/>
          <w:sz w:val="18"/>
          <w:szCs w:val="18"/>
        </w:rPr>
      </w:pPr>
      <w:bookmarkStart w:id="1" w:name="Par27"/>
      <w:bookmarkEnd w:id="1"/>
    </w:p>
    <w:p w:rsidR="006E4C8D" w:rsidRPr="008E2151" w:rsidRDefault="00B73787" w:rsidP="006E4C8D">
      <w:pPr>
        <w:contextualSpacing/>
        <w:rPr>
          <w:rFonts w:ascii="Times New Roman" w:hAnsi="Times New Roman" w:cs="Times New Roman"/>
          <w:sz w:val="18"/>
          <w:szCs w:val="18"/>
        </w:rPr>
      </w:pPr>
      <w:r w:rsidRPr="008E2151">
        <w:rPr>
          <w:rFonts w:ascii="Times New Roman" w:hAnsi="Times New Roman" w:cs="Times New Roman"/>
          <w:b/>
          <w:sz w:val="18"/>
          <w:szCs w:val="18"/>
        </w:rPr>
        <w:t>Инструкция по заполнению заявки:</w:t>
      </w:r>
      <w:r w:rsidR="006E4C8D" w:rsidRPr="008E2151">
        <w:rPr>
          <w:rFonts w:ascii="Times New Roman" w:hAnsi="Times New Roman" w:cs="Times New Roman"/>
          <w:sz w:val="18"/>
          <w:szCs w:val="18"/>
        </w:rPr>
        <w:t xml:space="preserve"> </w:t>
      </w:r>
    </w:p>
    <w:p w:rsidR="006E4C8D" w:rsidRPr="008E2151" w:rsidRDefault="006E4C8D" w:rsidP="006E4C8D">
      <w:pPr>
        <w:spacing w:after="0" w:line="240" w:lineRule="auto"/>
        <w:contextualSpacing/>
        <w:jc w:val="both"/>
        <w:rPr>
          <w:rFonts w:ascii="Times New Roman" w:hAnsi="Times New Roman" w:cs="Times New Roman"/>
          <w:sz w:val="18"/>
          <w:szCs w:val="18"/>
        </w:rPr>
      </w:pPr>
      <w:r w:rsidRPr="008E2151">
        <w:rPr>
          <w:rFonts w:ascii="Times New Roman" w:hAnsi="Times New Roman" w:cs="Times New Roman"/>
          <w:sz w:val="18"/>
          <w:szCs w:val="18"/>
        </w:rPr>
        <w:t xml:space="preserve">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участие в электронном аукционе, на иностранном языке должна сопровождаться предоставлением заверенного надлежащим образом перевода соответствующих документов на русский язык. </w:t>
      </w:r>
    </w:p>
    <w:p w:rsidR="00E153CE" w:rsidRPr="008E2151" w:rsidRDefault="00E153CE" w:rsidP="006E4C8D">
      <w:pPr>
        <w:spacing w:after="0" w:line="240" w:lineRule="auto"/>
        <w:contextualSpacing/>
        <w:jc w:val="both"/>
        <w:rPr>
          <w:rFonts w:ascii="Times New Roman" w:hAnsi="Times New Roman" w:cs="Times New Roman"/>
          <w:sz w:val="18"/>
          <w:szCs w:val="18"/>
        </w:rPr>
      </w:pPr>
    </w:p>
    <w:p w:rsidR="006E4C8D" w:rsidRPr="008E2151" w:rsidRDefault="006E4C8D" w:rsidP="006E4C8D">
      <w:pPr>
        <w:spacing w:after="0" w:line="240" w:lineRule="auto"/>
        <w:contextualSpacing/>
        <w:jc w:val="both"/>
        <w:rPr>
          <w:rFonts w:ascii="Times New Roman" w:hAnsi="Times New Roman" w:cs="Times New Roman"/>
          <w:sz w:val="18"/>
          <w:szCs w:val="18"/>
        </w:rPr>
      </w:pPr>
      <w:r w:rsidRPr="008E2151">
        <w:rPr>
          <w:rFonts w:ascii="Times New Roman" w:hAnsi="Times New Roman" w:cs="Times New Roman"/>
          <w:sz w:val="18"/>
          <w:szCs w:val="18"/>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E153CE" w:rsidRPr="008E2151" w:rsidRDefault="00E153CE" w:rsidP="006E4C8D">
      <w:pPr>
        <w:spacing w:after="0" w:line="240" w:lineRule="auto"/>
        <w:contextualSpacing/>
        <w:jc w:val="both"/>
        <w:rPr>
          <w:rFonts w:ascii="Times New Roman" w:hAnsi="Times New Roman" w:cs="Times New Roman"/>
          <w:sz w:val="18"/>
          <w:szCs w:val="18"/>
        </w:rPr>
      </w:pPr>
    </w:p>
    <w:p w:rsidR="006E4C8D" w:rsidRPr="008E2151" w:rsidRDefault="006E4C8D" w:rsidP="006E4C8D">
      <w:pPr>
        <w:spacing w:after="0" w:line="240" w:lineRule="auto"/>
        <w:contextualSpacing/>
        <w:jc w:val="both"/>
        <w:rPr>
          <w:rFonts w:ascii="Times New Roman" w:hAnsi="Times New Roman" w:cs="Times New Roman"/>
          <w:sz w:val="18"/>
          <w:szCs w:val="18"/>
        </w:rPr>
      </w:pPr>
      <w:r w:rsidRPr="008E2151">
        <w:rPr>
          <w:rFonts w:ascii="Times New Roman" w:hAnsi="Times New Roman" w:cs="Times New Roman"/>
          <w:sz w:val="18"/>
          <w:szCs w:val="18"/>
        </w:rPr>
        <w:t>Все документы, входящие в состав заявки на участие в электронном аукционе должны иметь четко читаемый текст.</w:t>
      </w:r>
    </w:p>
    <w:p w:rsidR="00E153CE" w:rsidRPr="008E2151" w:rsidRDefault="00E153CE" w:rsidP="006E4C8D">
      <w:pPr>
        <w:spacing w:after="0" w:line="240" w:lineRule="auto"/>
        <w:contextualSpacing/>
        <w:jc w:val="both"/>
        <w:rPr>
          <w:rFonts w:ascii="Times New Roman" w:hAnsi="Times New Roman" w:cs="Times New Roman"/>
          <w:sz w:val="18"/>
          <w:szCs w:val="18"/>
        </w:rPr>
      </w:pPr>
    </w:p>
    <w:p w:rsidR="006E4C8D" w:rsidRPr="008E2151" w:rsidRDefault="006E4C8D" w:rsidP="006E4C8D">
      <w:pPr>
        <w:spacing w:after="0" w:line="240" w:lineRule="auto"/>
        <w:contextualSpacing/>
        <w:jc w:val="both"/>
        <w:rPr>
          <w:rFonts w:ascii="Times New Roman" w:hAnsi="Times New Roman" w:cs="Times New Roman"/>
          <w:sz w:val="18"/>
          <w:szCs w:val="18"/>
        </w:rPr>
      </w:pPr>
      <w:r w:rsidRPr="008E2151">
        <w:rPr>
          <w:rFonts w:ascii="Times New Roman" w:hAnsi="Times New Roman" w:cs="Times New Roman"/>
          <w:sz w:val="18"/>
          <w:szCs w:val="18"/>
        </w:rPr>
        <w:t>Сведения, содержащиеся в заявке на участие в электронном аукционе, не должны допускать двусмысленных толкований.</w:t>
      </w:r>
    </w:p>
    <w:p w:rsidR="002C2FFF" w:rsidRPr="008E2151" w:rsidRDefault="002C2FFF" w:rsidP="002C2FFF">
      <w:pPr>
        <w:autoSpaceDE w:val="0"/>
        <w:autoSpaceDN w:val="0"/>
        <w:adjustRightInd w:val="0"/>
        <w:spacing w:before="200" w:after="0" w:line="240" w:lineRule="auto"/>
        <w:contextualSpacing/>
        <w:jc w:val="both"/>
        <w:rPr>
          <w:rFonts w:ascii="Times New Roman" w:hAnsi="Times New Roman" w:cs="Times New Roman"/>
          <w:color w:val="000000" w:themeColor="text1"/>
          <w:sz w:val="18"/>
          <w:szCs w:val="18"/>
        </w:rPr>
      </w:pPr>
    </w:p>
    <w:p w:rsidR="002C2FFF" w:rsidRPr="008E2151" w:rsidRDefault="002C2FFF" w:rsidP="002C2FFF">
      <w:pPr>
        <w:autoSpaceDE w:val="0"/>
        <w:autoSpaceDN w:val="0"/>
        <w:adjustRightInd w:val="0"/>
        <w:spacing w:before="200" w:after="0" w:line="240" w:lineRule="auto"/>
        <w:contextualSpacing/>
        <w:jc w:val="both"/>
        <w:rPr>
          <w:rFonts w:ascii="Times New Roman" w:hAnsi="Times New Roman" w:cs="Times New Roman"/>
          <w:b/>
          <w:color w:val="FF0000"/>
          <w:sz w:val="18"/>
          <w:szCs w:val="18"/>
        </w:rPr>
      </w:pPr>
      <w:proofErr w:type="gramStart"/>
      <w:r w:rsidRPr="008E2151">
        <w:rPr>
          <w:rFonts w:ascii="Times New Roman" w:hAnsi="Times New Roman" w:cs="Times New Roman"/>
          <w:color w:val="000000" w:themeColor="text1"/>
          <w:sz w:val="18"/>
          <w:szCs w:val="18"/>
        </w:rPr>
        <w:t xml:space="preserve">В случае, если в извещении о проведении электронного аукциона к участникам предъявлены дополнительные требования по ч. 2, 2.1 ст. 31 Закона N 44-ФЗ, информация и документы, подтверждающие соответствие участника закупки дополнительным требованиям, установленным в соответствии с частью 2 или 2.1 статьи 31 </w:t>
      </w:r>
      <w:r w:rsidRPr="008E2151">
        <w:rPr>
          <w:rFonts w:ascii="Times New Roman" w:hAnsi="Times New Roman" w:cs="Times New Roman"/>
          <w:sz w:val="18"/>
          <w:szCs w:val="18"/>
        </w:rPr>
        <w:t>Федерального закона № 44-ФЗ</w:t>
      </w:r>
      <w:r w:rsidRPr="008E2151">
        <w:rPr>
          <w:rFonts w:ascii="Times New Roman" w:hAnsi="Times New Roman" w:cs="Times New Roman"/>
          <w:color w:val="000000" w:themeColor="text1"/>
          <w:sz w:val="18"/>
          <w:szCs w:val="18"/>
        </w:rPr>
        <w:t xml:space="preserve">, и предусмотренные </w:t>
      </w:r>
      <w:r w:rsidRPr="008E2151">
        <w:rPr>
          <w:rFonts w:ascii="Times New Roman" w:hAnsi="Times New Roman" w:cs="Times New Roman"/>
          <w:color w:val="000000" w:themeColor="text1"/>
          <w:sz w:val="18"/>
          <w:szCs w:val="18"/>
        </w:rPr>
        <w:lastRenderedPageBreak/>
        <w:t xml:space="preserve">подпунктом «н» пункта 1 части 1 статьи 43 </w:t>
      </w:r>
      <w:r w:rsidRPr="008E2151">
        <w:rPr>
          <w:rFonts w:ascii="Times New Roman" w:hAnsi="Times New Roman" w:cs="Times New Roman"/>
          <w:sz w:val="18"/>
          <w:szCs w:val="18"/>
        </w:rPr>
        <w:t>Федерального закона № 44-ФЗ</w:t>
      </w:r>
      <w:r w:rsidRPr="008E2151">
        <w:rPr>
          <w:rFonts w:ascii="Times New Roman" w:hAnsi="Times New Roman" w:cs="Times New Roman"/>
          <w:color w:val="000000" w:themeColor="text1"/>
          <w:sz w:val="18"/>
          <w:szCs w:val="18"/>
        </w:rPr>
        <w:t>, не включаются</w:t>
      </w:r>
      <w:proofErr w:type="gramEnd"/>
      <w:r w:rsidRPr="008E2151">
        <w:rPr>
          <w:rFonts w:ascii="Times New Roman" w:hAnsi="Times New Roman" w:cs="Times New Roman"/>
          <w:color w:val="000000" w:themeColor="text1"/>
          <w:sz w:val="18"/>
          <w:szCs w:val="18"/>
        </w:rPr>
        <w:t xml:space="preserve"> участником закупки в заявку на участие в закупке. Такие документы в случаях, предусмотренных </w:t>
      </w:r>
      <w:r w:rsidRPr="008E2151">
        <w:rPr>
          <w:rFonts w:ascii="Times New Roman" w:hAnsi="Times New Roman" w:cs="Times New Roman"/>
          <w:sz w:val="18"/>
          <w:szCs w:val="18"/>
        </w:rPr>
        <w:t>Федеральным законом № 44-ФЗ</w:t>
      </w:r>
      <w:r w:rsidRPr="008E2151">
        <w:rPr>
          <w:rFonts w:ascii="Times New Roman" w:hAnsi="Times New Roman" w:cs="Times New Roman"/>
          <w:color w:val="000000" w:themeColor="text1"/>
          <w:sz w:val="18"/>
          <w:szCs w:val="18"/>
        </w:rPr>
        <w:t xml:space="preserve">,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 </w:t>
      </w:r>
    </w:p>
    <w:p w:rsidR="00E153CE" w:rsidRPr="008E2151" w:rsidRDefault="00E153CE" w:rsidP="006E4C8D">
      <w:pPr>
        <w:spacing w:after="0" w:line="240" w:lineRule="auto"/>
        <w:contextualSpacing/>
        <w:jc w:val="both"/>
        <w:rPr>
          <w:rFonts w:ascii="Times New Roman" w:hAnsi="Times New Roman" w:cs="Times New Roman"/>
          <w:sz w:val="18"/>
          <w:szCs w:val="18"/>
        </w:rPr>
      </w:pPr>
    </w:p>
    <w:sectPr w:rsidR="00E153CE" w:rsidRPr="008E2151" w:rsidSect="00995D5D">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787"/>
    <w:rsid w:val="00070B0A"/>
    <w:rsid w:val="000A61E1"/>
    <w:rsid w:val="00165A98"/>
    <w:rsid w:val="00240079"/>
    <w:rsid w:val="00256E5A"/>
    <w:rsid w:val="002667EC"/>
    <w:rsid w:val="002C2FFF"/>
    <w:rsid w:val="003B3380"/>
    <w:rsid w:val="003B68D4"/>
    <w:rsid w:val="00492D9E"/>
    <w:rsid w:val="004A2969"/>
    <w:rsid w:val="005D0DC9"/>
    <w:rsid w:val="006539B1"/>
    <w:rsid w:val="006B48D5"/>
    <w:rsid w:val="006E4C8D"/>
    <w:rsid w:val="0070129B"/>
    <w:rsid w:val="00806A61"/>
    <w:rsid w:val="00877EEA"/>
    <w:rsid w:val="008E2151"/>
    <w:rsid w:val="00910153"/>
    <w:rsid w:val="00982F11"/>
    <w:rsid w:val="00A21DE2"/>
    <w:rsid w:val="00B73787"/>
    <w:rsid w:val="00BD6C5E"/>
    <w:rsid w:val="00DB42A1"/>
    <w:rsid w:val="00E153CE"/>
    <w:rsid w:val="00ED32B0"/>
    <w:rsid w:val="00ED5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7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2F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B48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48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7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2F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B48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48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6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7DA8A821EF4C64063F1BC5F7902526C60A5B9DF2D94C52793B92D8603267F667328B417194FCFF92656D7E8F3DF743F96D73BE81ACD115w77FH" TargetMode="External"/><Relationship Id="rId13" Type="http://schemas.openxmlformats.org/officeDocument/2006/relationships/hyperlink" Target="consultantplus://offline/ref=9A5FE4909F6B16E95EB6BB5A4175AA29C8C762B1861CE31F81A9AFD67A53C759408E0F3C3A43DECC6BA7EACCCAE121A124DB24CB87GBs1C" TargetMode="External"/><Relationship Id="rId3" Type="http://schemas.openxmlformats.org/officeDocument/2006/relationships/settings" Target="settings.xml"/><Relationship Id="rId7" Type="http://schemas.openxmlformats.org/officeDocument/2006/relationships/hyperlink" Target="consultantplus://offline/ref=9A5FE4909F6B16E95EB6BB5A4175AA29C8C762B1861CE31F81A9AFD67A53C759408E0F3A394BD2936EB2FB94C6E13EBF25C438C985B1GDs0C" TargetMode="External"/><Relationship Id="rId12" Type="http://schemas.openxmlformats.org/officeDocument/2006/relationships/hyperlink" Target="consultantplus://offline/ref=9A5FE4909F6B16E95EB6BB5A4175AA29C8C762B1861CE31F81A9AFD67A53C759408E0F3A324CDECC6BA7EACCCAE121A124DB24CB87GBs1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A5FE4909F6B16E95EB6BB5A4175AA29C8C762B1861CE31F81A9AFD67A53C759408E0F3A394BD3936EB2FB94C6E13EBF25C438C985B1GDs0C" TargetMode="External"/><Relationship Id="rId11" Type="http://schemas.openxmlformats.org/officeDocument/2006/relationships/hyperlink" Target="consultantplus://offline/ref=9A5FE4909F6B16E95EB6BB5A4175AA29C8C762B1861CE31F81A9AFD67A53C759408E0F393B4AD69C3AE8EB908FB532A024DB26CA9BB1D213G7s8C" TargetMode="External"/><Relationship Id="rId5" Type="http://schemas.openxmlformats.org/officeDocument/2006/relationships/hyperlink" Target="consultantplus://offline/ref=9A5FE4909F6B16E95EB6BB5A4175AA29C8C762B1861CE31F81A9AFD67A53C759408E0F393B4AD69B3CE8EB908FB532A024DB26CA9BB1D213G7s8C" TargetMode="External"/><Relationship Id="rId15" Type="http://schemas.openxmlformats.org/officeDocument/2006/relationships/theme" Target="theme/theme1.xml"/><Relationship Id="rId10" Type="http://schemas.openxmlformats.org/officeDocument/2006/relationships/hyperlink" Target="consultantplus://offline/ref=9A5FE4909F6B16E95EB6BB5A4175AA29C8C762B1861CE31F81A9AFD67A53C759408E0F393B4AD69B32E8EB908FB532A024DB26CA9BB1D213G7s8C" TargetMode="External"/><Relationship Id="rId4" Type="http://schemas.openxmlformats.org/officeDocument/2006/relationships/webSettings" Target="webSettings.xml"/><Relationship Id="rId9" Type="http://schemas.openxmlformats.org/officeDocument/2006/relationships/hyperlink" Target="consultantplus://offline/ref=967DA8A821EF4C64063F1BC5F7902526C60A5B9DF2D94C52793B92D8603267F667328B417194FCFF92656D7E8F3DF743F96D73BE81ACD115w77F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1707</Words>
  <Characters>9732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Андреевна Кудрявцева</dc:creator>
  <cp:lastModifiedBy>Яна А. Орлова</cp:lastModifiedBy>
  <cp:revision>11</cp:revision>
  <cp:lastPrinted>2022-07-27T07:20:00Z</cp:lastPrinted>
  <dcterms:created xsi:type="dcterms:W3CDTF">2022-07-26T09:23:00Z</dcterms:created>
  <dcterms:modified xsi:type="dcterms:W3CDTF">2022-11-10T01:14:00Z</dcterms:modified>
</cp:coreProperties>
</file>